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0B151A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ＭＳ 明朝" w:hAnsi="Arial" w:cs="Arial"/>
          <w:b/>
          <w:sz w:val="24"/>
          <w:szCs w:val="24"/>
        </w:rPr>
        <w:t>3GPP TSG-RAN WG4 Meeti</w:t>
      </w:r>
      <w:r w:rsidRPr="00AB4650">
        <w:rPr>
          <w:rFonts w:ascii="Arial" w:eastAsia="ＭＳ 明朝" w:hAnsi="Arial" w:cs="Arial"/>
          <w:b/>
          <w:sz w:val="24"/>
          <w:szCs w:val="24"/>
        </w:rPr>
        <w:t>ng #</w:t>
      </w:r>
      <w:r w:rsidR="00BF4819">
        <w:rPr>
          <w:rFonts w:ascii="Arial" w:eastAsia="ＭＳ 明朝" w:hAnsi="Arial" w:cs="Arial"/>
          <w:b/>
          <w:sz w:val="24"/>
          <w:szCs w:val="24"/>
        </w:rPr>
        <w:t>106</w:t>
      </w:r>
      <w:r w:rsidRPr="00377591">
        <w:rPr>
          <w:rFonts w:ascii="Arial" w:eastAsia="ＭＳ 明朝" w:hAnsi="Arial" w:cs="Arial"/>
          <w:b/>
          <w:sz w:val="24"/>
          <w:szCs w:val="24"/>
        </w:rPr>
        <w:tab/>
      </w:r>
      <w:r w:rsidR="00D84BD0">
        <w:rPr>
          <w:rFonts w:ascii="Arial" w:eastAsia="ＭＳ 明朝" w:hAnsi="Arial" w:cs="Arial"/>
          <w:b/>
          <w:sz w:val="24"/>
          <w:szCs w:val="24"/>
        </w:rPr>
        <w:t>R4-2</w:t>
      </w:r>
      <w:r w:rsidR="00C53976">
        <w:rPr>
          <w:rFonts w:ascii="Arial" w:eastAsia="ＭＳ 明朝" w:hAnsi="Arial" w:cs="Arial"/>
          <w:b/>
          <w:sz w:val="24"/>
          <w:szCs w:val="24"/>
        </w:rPr>
        <w:t>5</w:t>
      </w:r>
      <w:r w:rsidR="00FB3F86">
        <w:rPr>
          <w:rFonts w:ascii="Arial" w:eastAsia="ＭＳ 明朝" w:hAnsi="Arial" w:cs="Arial"/>
          <w:b/>
          <w:sz w:val="24"/>
          <w:szCs w:val="24"/>
        </w:rPr>
        <w:t>11799</w:t>
      </w:r>
    </w:p>
    <w:p w14:paraId="0ED16545" w14:textId="74F11C7E" w:rsidR="0068254F" w:rsidRPr="00881E60" w:rsidRDefault="00BF481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BF4819">
        <w:rPr>
          <w:rFonts w:ascii="Arial" w:hAnsi="Arial"/>
          <w:b/>
          <w:sz w:val="24"/>
          <w:szCs w:val="24"/>
          <w:lang w:eastAsia="zh-CN"/>
        </w:rPr>
        <w:t>Bengaluru, India, 25th August 2025 – 29th August 2025</w:t>
      </w:r>
    </w:p>
    <w:p w14:paraId="1226C057" w14:textId="6E346A2C" w:rsidR="00E61455" w:rsidRPr="00BF4819" w:rsidRDefault="00E61455" w:rsidP="00E61455">
      <w:pPr>
        <w:tabs>
          <w:tab w:val="left" w:pos="1985"/>
        </w:tabs>
        <w:jc w:val="both"/>
        <w:rPr>
          <w:rFonts w:ascii="Arial" w:eastAsia="DengXian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BF4819">
        <w:rPr>
          <w:rFonts w:ascii="Arial" w:hAnsi="Arial" w:cs="Arial"/>
          <w:sz w:val="22"/>
          <w:lang w:eastAsia="zh-CN"/>
        </w:rPr>
        <w:t>ay forward for MPR reductio for n104</w:t>
      </w:r>
    </w:p>
    <w:p w14:paraId="73AD8CE3" w14:textId="38356D4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F4819">
        <w:rPr>
          <w:rFonts w:ascii="Arial" w:hAnsi="Arial" w:cs="Arial"/>
          <w:sz w:val="22"/>
          <w:lang w:eastAsia="zh-CN"/>
        </w:rPr>
        <w:t>4.2.2</w:t>
      </w:r>
    </w:p>
    <w:p w14:paraId="6402E503" w14:textId="482D511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eastAsia="ja-JP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F4819">
        <w:rPr>
          <w:rFonts w:ascii="Arial" w:hAnsi="Arial" w:cs="Arial"/>
          <w:b/>
          <w:sz w:val="22"/>
        </w:rPr>
        <w:t>Huawei, HiSilicon</w:t>
      </w:r>
      <w:r w:rsidR="00C10AEB" w:rsidRPr="00C10AEB">
        <w:rPr>
          <w:rFonts w:ascii="Arial" w:hAnsi="Arial" w:cs="Arial"/>
          <w:b/>
          <w:sz w:val="22"/>
        </w:rPr>
        <w:t>, OPPO, Samsung, 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3B5E221F" w:rsidR="00EF3FF4" w:rsidRPr="00AB3D40" w:rsidRDefault="00AE2442" w:rsidP="003E08FC">
      <w:pPr>
        <w:pStyle w:val="Heading1"/>
        <w:rPr>
          <w:lang w:eastAsia="zh-CN"/>
        </w:rPr>
      </w:pPr>
      <w:r>
        <w:t>&lt;Topic</w:t>
      </w:r>
      <w:r w:rsidR="00FB3F86">
        <w:t xml:space="preserve"> </w:t>
      </w:r>
      <w:r w:rsidR="00247DB8">
        <w:t>1</w:t>
      </w:r>
      <w:r w:rsidR="00BF4819">
        <w:t>: Scope</w:t>
      </w:r>
      <w:r w:rsidR="00EF3FF4">
        <w:t>&gt;</w:t>
      </w:r>
    </w:p>
    <w:p w14:paraId="65AFA2FB" w14:textId="5F2D49EA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421653">
        <w:rPr>
          <w:b/>
          <w:lang w:eastAsia="zh-CN"/>
        </w:rPr>
        <w:t>Way forward</w:t>
      </w:r>
      <w:r w:rsidR="002145B5">
        <w:rPr>
          <w:b/>
          <w:lang w:eastAsia="zh-CN"/>
        </w:rPr>
        <w:t>/Agreement</w:t>
      </w:r>
      <w:r>
        <w:rPr>
          <w:b/>
          <w:lang w:eastAsia="zh-CN"/>
        </w:rPr>
        <w:t>&gt;</w:t>
      </w:r>
    </w:p>
    <w:p w14:paraId="40D480AD" w14:textId="57A8A63F" w:rsidR="00247DB8" w:rsidRDefault="003E08FC" w:rsidP="00247D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47DB8">
        <w:rPr>
          <w:lang w:eastAsia="zh-CN"/>
        </w:rPr>
        <w:t>RAN4 introduces</w:t>
      </w:r>
      <w:r w:rsidR="005D64CD">
        <w:rPr>
          <w:lang w:eastAsia="zh-CN"/>
        </w:rPr>
        <w:t xml:space="preserve"> a band specific</w:t>
      </w:r>
      <w:r w:rsidR="00247DB8">
        <w:rPr>
          <w:lang w:eastAsia="zh-CN"/>
        </w:rPr>
        <w:t xml:space="preserve"> </w:t>
      </w:r>
      <w:r w:rsidR="00BF4819">
        <w:rPr>
          <w:lang w:eastAsia="zh-CN"/>
        </w:rPr>
        <w:t>ACLR</w:t>
      </w:r>
      <w:r w:rsidR="00247DB8">
        <w:rPr>
          <w:lang w:eastAsia="zh-CN"/>
        </w:rPr>
        <w:t xml:space="preserve"> of</w:t>
      </w:r>
      <w:r w:rsidR="00BF4819">
        <w:rPr>
          <w:lang w:eastAsia="zh-CN"/>
        </w:rPr>
        <w:t xml:space="preserve"> 26 dB </w:t>
      </w:r>
      <w:r w:rsidR="00247DB8">
        <w:rPr>
          <w:lang w:eastAsia="zh-CN"/>
        </w:rPr>
        <w:t xml:space="preserve">to </w:t>
      </w:r>
      <w:r w:rsidR="00BF4819">
        <w:rPr>
          <w:lang w:eastAsia="zh-CN"/>
        </w:rPr>
        <w:t>n104</w:t>
      </w:r>
      <w:r w:rsidR="00247DB8">
        <w:rPr>
          <w:lang w:eastAsia="zh-CN"/>
        </w:rPr>
        <w:t xml:space="preserve"> with </w:t>
      </w:r>
      <w:r w:rsidR="005D64CD">
        <w:rPr>
          <w:lang w:eastAsia="zh-CN"/>
        </w:rPr>
        <w:t xml:space="preserve">a dedicated </w:t>
      </w:r>
      <w:r w:rsidR="00247DB8">
        <w:rPr>
          <w:lang w:eastAsia="zh-CN"/>
        </w:rPr>
        <w:t>MPR under the following conditions.</w:t>
      </w:r>
    </w:p>
    <w:p w14:paraId="449678E1" w14:textId="2B930B52" w:rsidR="00BF4819" w:rsidRDefault="00BF4819" w:rsidP="00247DB8">
      <w:pPr>
        <w:pStyle w:val="B1"/>
        <w:ind w:hanging="14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47DB8">
        <w:rPr>
          <w:lang w:eastAsia="zh-CN"/>
        </w:rPr>
        <w:tab/>
      </w:r>
      <w:r>
        <w:rPr>
          <w:lang w:eastAsia="zh-CN"/>
        </w:rPr>
        <w:t>PC3</w:t>
      </w:r>
      <w:r w:rsidR="00247DB8">
        <w:rPr>
          <w:lang w:eastAsia="zh-CN"/>
        </w:rPr>
        <w:t xml:space="preserve"> for n104 and CA_n104C and Band Combinations (BCs) including n104</w:t>
      </w:r>
    </w:p>
    <w:p w14:paraId="2FFABDD3" w14:textId="6AD6D1B4" w:rsidR="00BF4819" w:rsidRDefault="00BF4819" w:rsidP="00247DB8">
      <w:pPr>
        <w:pStyle w:val="B1"/>
        <w:ind w:hanging="148"/>
        <w:rPr>
          <w:rFonts w:eastAsia="DengXian"/>
          <w:lang w:eastAsia="zh-CN"/>
        </w:rPr>
      </w:pPr>
      <w:r>
        <w:rPr>
          <w:lang w:eastAsia="zh-CN"/>
        </w:rPr>
        <w:t>-</w:t>
      </w:r>
      <w:r w:rsidR="00247DB8">
        <w:rPr>
          <w:lang w:eastAsia="zh-CN"/>
        </w:rPr>
        <w:tab/>
      </w:r>
      <w:r>
        <w:rPr>
          <w:lang w:eastAsia="zh-CN"/>
        </w:rPr>
        <w:tab/>
        <w:t>1Tx and 2Tx</w:t>
      </w:r>
      <w:r w:rsidR="00247DB8">
        <w:rPr>
          <w:lang w:eastAsia="zh-CN"/>
        </w:rPr>
        <w:t xml:space="preserve"> are considered</w:t>
      </w:r>
    </w:p>
    <w:p w14:paraId="578654AD" w14:textId="0ECBCC02" w:rsidR="00247DB8" w:rsidRPr="00AB3D40" w:rsidRDefault="00247DB8" w:rsidP="00247DB8">
      <w:pPr>
        <w:pStyle w:val="Heading1"/>
        <w:rPr>
          <w:lang w:eastAsia="zh-CN"/>
        </w:rPr>
      </w:pPr>
      <w:r>
        <w:t>&lt;Topic</w:t>
      </w:r>
      <w:r w:rsidR="00FB3F86">
        <w:t xml:space="preserve"> </w:t>
      </w:r>
      <w:r>
        <w:t>2: technical aspects&gt;</w:t>
      </w:r>
    </w:p>
    <w:p w14:paraId="576B5254" w14:textId="7BFEA11D" w:rsidR="00247DB8" w:rsidRPr="00EF3FF4" w:rsidRDefault="00247DB8" w:rsidP="00247DB8">
      <w:pPr>
        <w:pStyle w:val="Heading2"/>
        <w:rPr>
          <w:lang w:eastAsia="zh-CN"/>
        </w:rPr>
      </w:pPr>
      <w:r w:rsidRPr="00EF3FF4">
        <w:t>&lt;</w:t>
      </w:r>
      <w:r>
        <w:t xml:space="preserve">Sub-topic 2-1: </w:t>
      </w:r>
      <w:r w:rsidR="00557FE8">
        <w:t>How to introduce the ACLR</w:t>
      </w:r>
      <w:r w:rsidRPr="00EF3FF4">
        <w:t>&gt;</w:t>
      </w:r>
    </w:p>
    <w:p w14:paraId="4B42466B" w14:textId="77777777" w:rsidR="00247DB8" w:rsidRDefault="00247DB8" w:rsidP="00247DB8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646CF7E1" w14:textId="7277DAC1" w:rsidR="00557FE8" w:rsidRDefault="00557FE8" w:rsidP="00557FE8">
      <w:pPr>
        <w:pStyle w:val="B1"/>
        <w:rPr>
          <w:rFonts w:eastAsia="DengXian"/>
          <w:lang w:eastAsia="zh-CN"/>
        </w:rPr>
      </w:pPr>
      <w:r>
        <w:rPr>
          <w:lang w:eastAsia="zh-CN"/>
        </w:rPr>
        <w:t>Below approaches can be further discussed</w:t>
      </w:r>
    </w:p>
    <w:p w14:paraId="62E80279" w14:textId="342E5DC3" w:rsidR="00247DB8" w:rsidRDefault="00247DB8" w:rsidP="00557FE8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FFS on if </w:t>
      </w:r>
      <w:r w:rsidR="005D64CD">
        <w:rPr>
          <w:lang w:eastAsia="zh-CN"/>
        </w:rPr>
        <w:t xml:space="preserve">a band specific </w:t>
      </w:r>
      <w:r>
        <w:rPr>
          <w:lang w:eastAsia="zh-CN"/>
        </w:rPr>
        <w:t xml:space="preserve">ACLR for n104 and CA_n104C is treated with NS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like other bands or not.</w:t>
      </w:r>
    </w:p>
    <w:p w14:paraId="2F5C0BDB" w14:textId="78859B00" w:rsidR="00557FE8" w:rsidRPr="00557FE8" w:rsidRDefault="00557FE8" w:rsidP="00557FE8">
      <w:pPr>
        <w:pStyle w:val="B1"/>
        <w:numPr>
          <w:ilvl w:val="0"/>
          <w:numId w:val="32"/>
        </w:numPr>
        <w:rPr>
          <w:lang w:eastAsia="zh-CN"/>
        </w:rPr>
      </w:pPr>
      <w:r>
        <w:rPr>
          <w:rFonts w:eastAsia="DengXian" w:hint="eastAsia"/>
          <w:lang w:eastAsia="zh-CN"/>
        </w:rPr>
        <w:t>O</w:t>
      </w:r>
      <w:r>
        <w:rPr>
          <w:rFonts w:eastAsia="DengXian"/>
          <w:lang w:eastAsia="zh-CN"/>
        </w:rPr>
        <w:t>ther approaches are not precluded</w:t>
      </w:r>
    </w:p>
    <w:p w14:paraId="58BADA2F" w14:textId="6E152174" w:rsidR="00247DB8" w:rsidRPr="00EF3FF4" w:rsidRDefault="00247DB8" w:rsidP="00247DB8">
      <w:pPr>
        <w:pStyle w:val="Heading2"/>
        <w:rPr>
          <w:lang w:eastAsia="zh-CN"/>
        </w:rPr>
      </w:pPr>
      <w:r w:rsidRPr="00EF3FF4">
        <w:t>&lt;</w:t>
      </w:r>
      <w:r>
        <w:t>Sub-topic 2-2: MSD</w:t>
      </w:r>
      <w:r w:rsidRPr="00EF3FF4">
        <w:t>&gt;</w:t>
      </w:r>
    </w:p>
    <w:p w14:paraId="13512E25" w14:textId="77777777" w:rsidR="00247DB8" w:rsidRDefault="00247DB8" w:rsidP="00247DB8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5CDD1EB3" w14:textId="6482F3B1" w:rsidR="00B4053B" w:rsidRDefault="00247DB8" w:rsidP="00FB3F86">
      <w:pPr>
        <w:pStyle w:val="B1"/>
        <w:ind w:left="0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FFS on MSD </w:t>
      </w:r>
      <w:r w:rsidR="00FB3F86">
        <w:rPr>
          <w:lang w:eastAsia="zh-CN"/>
        </w:rPr>
        <w:t>for</w:t>
      </w:r>
      <w:r w:rsidR="00FB3F86" w:rsidRPr="00FB3F86">
        <w:t xml:space="preserve"> </w:t>
      </w:r>
      <w:r w:rsidR="00FB3F86" w:rsidRPr="00FB3F86">
        <w:rPr>
          <w:lang w:eastAsia="zh-CN"/>
        </w:rPr>
        <w:t>a new MSD value for CA_n78-n10</w:t>
      </w:r>
      <w:r w:rsidR="00FB3F86">
        <w:rPr>
          <w:lang w:eastAsia="zh-CN"/>
        </w:rPr>
        <w:t>4 with respect to cross band isolation</w:t>
      </w:r>
    </w:p>
    <w:p w14:paraId="5B32F219" w14:textId="185D870E" w:rsidR="00FB3F86" w:rsidRPr="00AB3D40" w:rsidRDefault="00FB3F86" w:rsidP="00FB3F86">
      <w:pPr>
        <w:pStyle w:val="Heading1"/>
        <w:rPr>
          <w:lang w:eastAsia="zh-CN"/>
        </w:rPr>
      </w:pPr>
      <w:r>
        <w:t>&lt;Topic 3: Procedure&gt;</w:t>
      </w:r>
    </w:p>
    <w:p w14:paraId="2D199D58" w14:textId="77777777" w:rsidR="00FB3F86" w:rsidRDefault="00FB3F86" w:rsidP="00FB3F86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4AB602EC" w14:textId="2778639E" w:rsidR="00FB3F86" w:rsidRDefault="00FB3F86" w:rsidP="00FB3F86">
      <w:pPr>
        <w:pStyle w:val="B1"/>
        <w:rPr>
          <w:rFonts w:eastAsia="DengXi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This topic is treated under Release 17 maintenance as correction</w:t>
      </w:r>
    </w:p>
    <w:p w14:paraId="74140C72" w14:textId="01595588" w:rsidR="00163132" w:rsidRPr="00FB3F86" w:rsidRDefault="00163132" w:rsidP="00FB3F86">
      <w:pPr>
        <w:pStyle w:val="Heading1"/>
        <w:rPr>
          <w:lang w:eastAsia="zh-CN"/>
        </w:rPr>
      </w:pPr>
    </w:p>
    <w:sectPr w:rsidR="00163132" w:rsidRPr="00FB3F8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226D2" w14:textId="77777777" w:rsidR="000F21C0" w:rsidRPr="00A10429" w:rsidRDefault="000F21C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332A927" w14:textId="77777777" w:rsidR="000F21C0" w:rsidRPr="00A10429" w:rsidRDefault="000F21C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D1E8" w14:textId="77777777" w:rsidR="000F21C0" w:rsidRPr="00A10429" w:rsidRDefault="000F21C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DDBC9A7" w14:textId="77777777" w:rsidR="000F21C0" w:rsidRPr="00A10429" w:rsidRDefault="000F21C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BD5B42"/>
    <w:multiLevelType w:val="hybridMultilevel"/>
    <w:tmpl w:val="6A9A0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1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2"/>
  </w:num>
  <w:num w:numId="10">
    <w:abstractNumId w:val="22"/>
  </w:num>
  <w:num w:numId="11">
    <w:abstractNumId w:val="1"/>
  </w:num>
  <w:num w:numId="12">
    <w:abstractNumId w:val="7"/>
  </w:num>
  <w:num w:numId="13">
    <w:abstractNumId w:val="6"/>
  </w:num>
  <w:num w:numId="14">
    <w:abstractNumId w:val="20"/>
  </w:num>
  <w:num w:numId="15">
    <w:abstractNumId w:val="22"/>
  </w:num>
  <w:num w:numId="16">
    <w:abstractNumId w:val="22"/>
  </w:num>
  <w:num w:numId="17">
    <w:abstractNumId w:val="15"/>
  </w:num>
  <w:num w:numId="18">
    <w:abstractNumId w:val="23"/>
  </w:num>
  <w:num w:numId="19">
    <w:abstractNumId w:val="22"/>
  </w:num>
  <w:num w:numId="20">
    <w:abstractNumId w:val="5"/>
  </w:num>
  <w:num w:numId="21">
    <w:abstractNumId w:val="22"/>
  </w:num>
  <w:num w:numId="22">
    <w:abstractNumId w:val="22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 w:numId="32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2AE2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138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1C0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80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48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47DB8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007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FE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4CD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34A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3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72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26E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819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AE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E6E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F86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F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D64C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Umeda Hiromasa</cp:lastModifiedBy>
  <cp:revision>2</cp:revision>
  <dcterms:created xsi:type="dcterms:W3CDTF">2025-08-29T04:18:00Z</dcterms:created>
  <dcterms:modified xsi:type="dcterms:W3CDTF">2025-08-29T04:18:00Z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